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E5" w:rsidRPr="000D6D9D" w:rsidRDefault="000B28DA" w:rsidP="00994E14">
      <w:pPr>
        <w:contextualSpacing/>
        <w:jc w:val="center"/>
        <w:rPr>
          <w:b/>
          <w:sz w:val="36"/>
        </w:rPr>
      </w:pPr>
      <w:r w:rsidRPr="000D6D9D">
        <w:rPr>
          <w:b/>
          <w:sz w:val="36"/>
        </w:rPr>
        <w:t>Ulster</w:t>
      </w:r>
      <w:r w:rsidR="001F15F9">
        <w:rPr>
          <w:b/>
          <w:sz w:val="36"/>
        </w:rPr>
        <w:t xml:space="preserve"> County Veterans Cemetery</w:t>
      </w:r>
    </w:p>
    <w:p w:rsidR="000B28DA" w:rsidRPr="002A4B89" w:rsidRDefault="000B28DA" w:rsidP="00994E14">
      <w:pPr>
        <w:contextualSpacing/>
        <w:jc w:val="center"/>
        <w:rPr>
          <w:sz w:val="24"/>
        </w:rPr>
      </w:pPr>
      <w:r w:rsidRPr="002A4B89">
        <w:rPr>
          <w:sz w:val="24"/>
        </w:rPr>
        <w:t>at</w:t>
      </w:r>
    </w:p>
    <w:p w:rsidR="000B28DA" w:rsidRDefault="000B28DA" w:rsidP="007201BD">
      <w:pPr>
        <w:contextualSpacing/>
        <w:jc w:val="center"/>
        <w:rPr>
          <w:sz w:val="24"/>
        </w:rPr>
      </w:pPr>
      <w:r w:rsidRPr="002A4B89">
        <w:rPr>
          <w:sz w:val="24"/>
        </w:rPr>
        <w:t>New Paltz Rural Cemetery</w:t>
      </w:r>
      <w:r w:rsidR="000B2230">
        <w:rPr>
          <w:sz w:val="24"/>
        </w:rPr>
        <w:t xml:space="preserve"> (NPRC)</w:t>
      </w:r>
    </w:p>
    <w:p w:rsidR="007201BD" w:rsidRPr="002A4B89" w:rsidRDefault="007201BD" w:rsidP="007201BD">
      <w:pPr>
        <w:contextualSpacing/>
        <w:jc w:val="center"/>
        <w:rPr>
          <w:sz w:val="24"/>
        </w:rPr>
      </w:pPr>
    </w:p>
    <w:p w:rsidR="000B28DA" w:rsidRPr="000D6D9D" w:rsidRDefault="000B28DA" w:rsidP="000D6D9D">
      <w:pPr>
        <w:jc w:val="center"/>
        <w:rPr>
          <w:b/>
          <w:sz w:val="36"/>
        </w:rPr>
      </w:pPr>
      <w:r w:rsidRPr="000D6D9D">
        <w:rPr>
          <w:b/>
          <w:sz w:val="36"/>
        </w:rPr>
        <w:t>Eligibility</w:t>
      </w:r>
      <w:r w:rsidR="007201BD">
        <w:rPr>
          <w:b/>
          <w:sz w:val="36"/>
        </w:rPr>
        <w:t xml:space="preserve"> &amp; Payment</w:t>
      </w:r>
    </w:p>
    <w:p w:rsidR="000B28DA" w:rsidRPr="002A4B89" w:rsidRDefault="000D6D9D" w:rsidP="000B28DA">
      <w:pPr>
        <w:rPr>
          <w:sz w:val="24"/>
        </w:rPr>
      </w:pPr>
      <w:r>
        <w:rPr>
          <w:sz w:val="24"/>
        </w:rPr>
        <w:t>A veteran</w:t>
      </w:r>
      <w:r w:rsidR="000B28DA" w:rsidRPr="002A4B89">
        <w:rPr>
          <w:sz w:val="24"/>
        </w:rPr>
        <w:t xml:space="preserve"> and </w:t>
      </w:r>
      <w:r>
        <w:rPr>
          <w:sz w:val="24"/>
        </w:rPr>
        <w:t xml:space="preserve">his </w:t>
      </w:r>
      <w:r w:rsidR="000B28DA" w:rsidRPr="002A4B89">
        <w:rPr>
          <w:sz w:val="24"/>
        </w:rPr>
        <w:t xml:space="preserve">spouse who reside in Ulster County are eligible for burial in </w:t>
      </w:r>
      <w:r w:rsidR="001F15F9">
        <w:rPr>
          <w:sz w:val="24"/>
        </w:rPr>
        <w:t>Ulster County Veterans Cemetery</w:t>
      </w:r>
      <w:r w:rsidR="00046A51">
        <w:rPr>
          <w:sz w:val="24"/>
        </w:rPr>
        <w:t xml:space="preserve"> (UCVC)</w:t>
      </w:r>
      <w:r w:rsidR="000B28DA" w:rsidRPr="002A4B89">
        <w:rPr>
          <w:sz w:val="24"/>
        </w:rPr>
        <w:t>, subject to the following criteria.</w:t>
      </w:r>
      <w:r w:rsidR="00046A51">
        <w:rPr>
          <w:sz w:val="24"/>
        </w:rPr>
        <w:t xml:space="preserve">  Spouse eligibility is contingent o</w:t>
      </w:r>
      <w:r w:rsidR="00D47A29">
        <w:rPr>
          <w:sz w:val="24"/>
        </w:rPr>
        <w:t>n the veteran’s eligibility/</w:t>
      </w:r>
      <w:r w:rsidR="00046A51">
        <w:rPr>
          <w:sz w:val="24"/>
        </w:rPr>
        <w:t>burial in UCVC.</w:t>
      </w:r>
      <w:r w:rsidR="00FB72A6">
        <w:rPr>
          <w:sz w:val="24"/>
        </w:rPr>
        <w:t xml:space="preserve">  Eligible veteran/spouse burial costs </w:t>
      </w:r>
      <w:r w:rsidR="000B2230">
        <w:rPr>
          <w:sz w:val="24"/>
        </w:rPr>
        <w:t xml:space="preserve">in UCVC (not funeral costs) </w:t>
      </w:r>
      <w:r w:rsidR="00FB72A6">
        <w:rPr>
          <w:sz w:val="24"/>
        </w:rPr>
        <w:t>are paid by Ulster County.</w:t>
      </w:r>
    </w:p>
    <w:p w:rsidR="000B28DA" w:rsidRPr="002A4B89" w:rsidRDefault="000B28DA" w:rsidP="000B28DA">
      <w:pPr>
        <w:pStyle w:val="ListParagraph"/>
        <w:numPr>
          <w:ilvl w:val="0"/>
          <w:numId w:val="3"/>
        </w:numPr>
        <w:rPr>
          <w:sz w:val="24"/>
        </w:rPr>
      </w:pPr>
      <w:r w:rsidRPr="002A4B89">
        <w:rPr>
          <w:sz w:val="24"/>
        </w:rPr>
        <w:t>Residency:</w:t>
      </w:r>
    </w:p>
    <w:p w:rsidR="000B28DA" w:rsidRPr="002A4B89" w:rsidRDefault="000B28DA" w:rsidP="000B28DA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An </w:t>
      </w:r>
      <w:r w:rsidRPr="00994E14">
        <w:rPr>
          <w:sz w:val="24"/>
          <w:u w:val="single"/>
        </w:rPr>
        <w:t>Ulster County residence address</w:t>
      </w:r>
      <w:r w:rsidRPr="002A4B89">
        <w:rPr>
          <w:sz w:val="24"/>
        </w:rPr>
        <w:t xml:space="preserve"> on the decedent’s death certificate establishes residency.</w:t>
      </w:r>
    </w:p>
    <w:p w:rsidR="000B28DA" w:rsidRPr="002A4B89" w:rsidRDefault="000B28DA" w:rsidP="000B28DA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If the address on the death certificate is </w:t>
      </w:r>
      <w:r w:rsidRPr="00994E14">
        <w:rPr>
          <w:sz w:val="24"/>
          <w:u w:val="single"/>
        </w:rPr>
        <w:t>not</w:t>
      </w:r>
      <w:r w:rsidRPr="002A4B89">
        <w:rPr>
          <w:sz w:val="24"/>
        </w:rPr>
        <w:t xml:space="preserve"> in Ulster County, and residency is being claimed by the burial informant, supporting documentation </w:t>
      </w:r>
      <w:r w:rsidR="00994E14">
        <w:rPr>
          <w:sz w:val="24"/>
        </w:rPr>
        <w:t xml:space="preserve">of </w:t>
      </w:r>
      <w:r w:rsidRPr="002A4B89">
        <w:rPr>
          <w:sz w:val="24"/>
        </w:rPr>
        <w:t xml:space="preserve">Ulster County residency must be provided to Ulster County Veteran Services Agency (UCVSA), </w:t>
      </w:r>
      <w:r w:rsidR="00FE5ECF">
        <w:rPr>
          <w:sz w:val="24"/>
        </w:rPr>
        <w:t>which</w:t>
      </w:r>
      <w:r w:rsidRPr="002A4B89">
        <w:rPr>
          <w:sz w:val="24"/>
        </w:rPr>
        <w:t xml:space="preserve"> will review and determine if an exception to 1(a) above is warranted.</w:t>
      </w:r>
    </w:p>
    <w:p w:rsidR="000B28DA" w:rsidRPr="002A4B89" w:rsidRDefault="000B28DA" w:rsidP="000B28DA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If the decedent is a </w:t>
      </w:r>
      <w:r w:rsidRPr="00046A51">
        <w:rPr>
          <w:sz w:val="24"/>
          <w:u w:val="single"/>
        </w:rPr>
        <w:t>non-resident</w:t>
      </w:r>
      <w:r w:rsidRPr="002A4B89">
        <w:rPr>
          <w:sz w:val="24"/>
        </w:rPr>
        <w:t xml:space="preserve"> of U</w:t>
      </w:r>
      <w:r w:rsidR="005C2F46" w:rsidRPr="002A4B89">
        <w:rPr>
          <w:sz w:val="24"/>
        </w:rPr>
        <w:t>lster County, but the burial informant desires a UCVC burial based on compassionate factors (</w:t>
      </w:r>
      <w:r w:rsidR="00046A51">
        <w:rPr>
          <w:sz w:val="24"/>
        </w:rPr>
        <w:t xml:space="preserve">such as </w:t>
      </w:r>
      <w:r w:rsidR="005C2F46" w:rsidRPr="002A4B89">
        <w:rPr>
          <w:sz w:val="24"/>
        </w:rPr>
        <w:t>long previous Ulster County residency</w:t>
      </w:r>
      <w:r w:rsidR="00046A51">
        <w:rPr>
          <w:sz w:val="24"/>
        </w:rPr>
        <w:t>, etc.</w:t>
      </w:r>
      <w:r w:rsidR="005C2F46" w:rsidRPr="002A4B89">
        <w:rPr>
          <w:sz w:val="24"/>
        </w:rPr>
        <w:t>) the burial informant must make written request to UCVSA for determination if exception to 1(a) above is warranted.</w:t>
      </w:r>
      <w:r w:rsidR="00994E14">
        <w:rPr>
          <w:sz w:val="24"/>
        </w:rPr>
        <w:t xml:space="preserve">  Should an exception be granted for a non-resident burial, the burial informant shall pay in advance to </w:t>
      </w:r>
      <w:r w:rsidR="000B2230">
        <w:rPr>
          <w:sz w:val="24"/>
        </w:rPr>
        <w:t xml:space="preserve">NPRC </w:t>
      </w:r>
      <w:r w:rsidR="00994E14">
        <w:rPr>
          <w:sz w:val="24"/>
        </w:rPr>
        <w:t>the full cost of such burial and pay in advance for the prescribed bronze grave marker</w:t>
      </w:r>
      <w:r w:rsidR="00046A51">
        <w:rPr>
          <w:sz w:val="24"/>
        </w:rPr>
        <w:t>(s)</w:t>
      </w:r>
      <w:r w:rsidR="00994E14">
        <w:rPr>
          <w:sz w:val="24"/>
        </w:rPr>
        <w:t>.</w:t>
      </w:r>
    </w:p>
    <w:p w:rsidR="005C2F46" w:rsidRDefault="005C2F46" w:rsidP="000B28DA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Cemetery burial expenses for decedents as in 1(a) above will be </w:t>
      </w:r>
      <w:r w:rsidR="00994E14">
        <w:rPr>
          <w:sz w:val="24"/>
        </w:rPr>
        <w:t>at no cost to veteran/informant.</w:t>
      </w:r>
      <w:r w:rsidRPr="002A4B89">
        <w:rPr>
          <w:sz w:val="24"/>
        </w:rPr>
        <w:t xml:space="preserve">  These </w:t>
      </w:r>
      <w:r w:rsidR="00796FD7">
        <w:rPr>
          <w:sz w:val="24"/>
        </w:rPr>
        <w:t xml:space="preserve">covered </w:t>
      </w:r>
      <w:r w:rsidRPr="002A4B89">
        <w:rPr>
          <w:sz w:val="24"/>
        </w:rPr>
        <w:t xml:space="preserve">expenses are </w:t>
      </w:r>
      <w:r w:rsidR="00796FD7">
        <w:rPr>
          <w:sz w:val="24"/>
        </w:rPr>
        <w:t>limited</w:t>
      </w:r>
      <w:r w:rsidRPr="002A4B89">
        <w:rPr>
          <w:sz w:val="24"/>
        </w:rPr>
        <w:t xml:space="preserve"> to costs for plot, interment and grave foundation.  All other expenses, such as funeral home services, casket, etc.</w:t>
      </w:r>
      <w:r w:rsidR="007201BD">
        <w:rPr>
          <w:sz w:val="24"/>
        </w:rPr>
        <w:t>,</w:t>
      </w:r>
      <w:r w:rsidRPr="002A4B89">
        <w:rPr>
          <w:sz w:val="24"/>
        </w:rPr>
        <w:t xml:space="preserve"> are the responsibility of the</w:t>
      </w:r>
      <w:r w:rsidR="00994E14">
        <w:rPr>
          <w:sz w:val="24"/>
        </w:rPr>
        <w:t xml:space="preserve"> veteran/</w:t>
      </w:r>
      <w:r w:rsidRPr="002A4B89">
        <w:rPr>
          <w:sz w:val="24"/>
        </w:rPr>
        <w:t>informant</w:t>
      </w:r>
      <w:r w:rsidR="002A6535" w:rsidRPr="002A4B89">
        <w:rPr>
          <w:sz w:val="24"/>
        </w:rPr>
        <w:t>.</w:t>
      </w:r>
    </w:p>
    <w:p w:rsidR="00994E14" w:rsidRPr="002A4B89" w:rsidRDefault="00994E14" w:rsidP="00994E14">
      <w:pPr>
        <w:pStyle w:val="ListParagraph"/>
        <w:ind w:left="1440"/>
        <w:rPr>
          <w:sz w:val="24"/>
        </w:rPr>
      </w:pPr>
    </w:p>
    <w:p w:rsidR="002A6535" w:rsidRPr="002A4B89" w:rsidRDefault="002A6535" w:rsidP="002A6535">
      <w:pPr>
        <w:pStyle w:val="ListParagraph"/>
        <w:numPr>
          <w:ilvl w:val="0"/>
          <w:numId w:val="3"/>
        </w:numPr>
        <w:rPr>
          <w:sz w:val="24"/>
        </w:rPr>
      </w:pPr>
      <w:r w:rsidRPr="002A4B89">
        <w:rPr>
          <w:sz w:val="24"/>
        </w:rPr>
        <w:t>Military Service:</w:t>
      </w:r>
    </w:p>
    <w:p w:rsidR="002A6535" w:rsidRDefault="002A6535" w:rsidP="002A6535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Only </w:t>
      </w:r>
      <w:r w:rsidR="00796FD7">
        <w:rPr>
          <w:sz w:val="24"/>
        </w:rPr>
        <w:t>a veteran</w:t>
      </w:r>
      <w:r w:rsidRPr="002A4B89">
        <w:rPr>
          <w:sz w:val="24"/>
        </w:rPr>
        <w:t xml:space="preserve"> (as defined herein) and </w:t>
      </w:r>
      <w:r w:rsidR="00796FD7">
        <w:rPr>
          <w:sz w:val="24"/>
        </w:rPr>
        <w:t>his spouse</w:t>
      </w:r>
      <w:r w:rsidRPr="002A4B89">
        <w:rPr>
          <w:sz w:val="24"/>
        </w:rPr>
        <w:t xml:space="preserve"> are eligible for burial in UCVC.</w:t>
      </w:r>
    </w:p>
    <w:p w:rsidR="00D14BF9" w:rsidRPr="002A4B89" w:rsidRDefault="00796FD7" w:rsidP="002A6535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The veteran’s</w:t>
      </w:r>
      <w:r w:rsidR="00994E14">
        <w:rPr>
          <w:sz w:val="24"/>
        </w:rPr>
        <w:t xml:space="preserve"> </w:t>
      </w:r>
      <w:r w:rsidR="00D14BF9" w:rsidRPr="00994E14">
        <w:rPr>
          <w:sz w:val="24"/>
          <w:u w:val="single"/>
        </w:rPr>
        <w:t>document of discharge</w:t>
      </w:r>
      <w:r w:rsidR="00D14BF9">
        <w:rPr>
          <w:sz w:val="24"/>
        </w:rPr>
        <w:t>, such as a D</w:t>
      </w:r>
      <w:r w:rsidR="00994E14">
        <w:rPr>
          <w:sz w:val="24"/>
        </w:rPr>
        <w:t>D-214 or equivalent certificate is required.</w:t>
      </w:r>
    </w:p>
    <w:p w:rsidR="002A6535" w:rsidRPr="002A4B89" w:rsidRDefault="002A6535" w:rsidP="002A6535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The veteran’s </w:t>
      </w:r>
      <w:r w:rsidRPr="00994E14">
        <w:rPr>
          <w:sz w:val="24"/>
          <w:u w:val="single"/>
        </w:rPr>
        <w:t>character of military service</w:t>
      </w:r>
      <w:r w:rsidRPr="00374179">
        <w:rPr>
          <w:sz w:val="24"/>
        </w:rPr>
        <w:t xml:space="preserve"> </w:t>
      </w:r>
      <w:r w:rsidRPr="002A4B89">
        <w:rPr>
          <w:sz w:val="24"/>
        </w:rPr>
        <w:t>must be no less than “General</w:t>
      </w:r>
      <w:r w:rsidR="007201BD">
        <w:rPr>
          <w:sz w:val="24"/>
        </w:rPr>
        <w:t>.”</w:t>
      </w:r>
    </w:p>
    <w:p w:rsidR="002A6535" w:rsidRPr="002A4B89" w:rsidRDefault="002A6535" w:rsidP="002A6535">
      <w:pPr>
        <w:pStyle w:val="ListParagraph"/>
        <w:numPr>
          <w:ilvl w:val="1"/>
          <w:numId w:val="3"/>
        </w:numPr>
        <w:rPr>
          <w:sz w:val="24"/>
        </w:rPr>
      </w:pPr>
      <w:r w:rsidRPr="002A4B89">
        <w:rPr>
          <w:sz w:val="24"/>
        </w:rPr>
        <w:t xml:space="preserve">The veteran must meet the following </w:t>
      </w:r>
      <w:r w:rsidR="002A4B89" w:rsidRPr="00300CFB">
        <w:rPr>
          <w:sz w:val="24"/>
          <w:u w:val="single"/>
        </w:rPr>
        <w:t xml:space="preserve">military </w:t>
      </w:r>
      <w:r w:rsidRPr="00300CFB">
        <w:rPr>
          <w:sz w:val="24"/>
          <w:u w:val="single"/>
        </w:rPr>
        <w:t>service criteria</w:t>
      </w:r>
      <w:r w:rsidRPr="002A4B89">
        <w:rPr>
          <w:sz w:val="24"/>
        </w:rPr>
        <w:t>:</w:t>
      </w:r>
    </w:p>
    <w:p w:rsidR="002A6535" w:rsidRPr="002A4B89" w:rsidRDefault="002A4B89" w:rsidP="002A6535">
      <w:pPr>
        <w:pStyle w:val="ListParagraph"/>
        <w:numPr>
          <w:ilvl w:val="2"/>
          <w:numId w:val="3"/>
        </w:numPr>
        <w:rPr>
          <w:sz w:val="24"/>
        </w:rPr>
      </w:pPr>
      <w:r w:rsidRPr="002A4B89">
        <w:rPr>
          <w:sz w:val="24"/>
        </w:rPr>
        <w:t xml:space="preserve">Have </w:t>
      </w:r>
      <w:r w:rsidR="00890EDC">
        <w:rPr>
          <w:sz w:val="24"/>
        </w:rPr>
        <w:t>full-time active d</w:t>
      </w:r>
      <w:r w:rsidRPr="002A4B89">
        <w:rPr>
          <w:sz w:val="24"/>
        </w:rPr>
        <w:t xml:space="preserve">uty </w:t>
      </w:r>
      <w:r>
        <w:rPr>
          <w:sz w:val="24"/>
        </w:rPr>
        <w:t>s</w:t>
      </w:r>
      <w:r w:rsidRPr="002A4B89">
        <w:rPr>
          <w:sz w:val="24"/>
        </w:rPr>
        <w:t>ervice, exclusive of basic training</w:t>
      </w:r>
      <w:r>
        <w:rPr>
          <w:sz w:val="24"/>
        </w:rPr>
        <w:t>.</w:t>
      </w:r>
    </w:p>
    <w:p w:rsidR="002A4B89" w:rsidRDefault="002A4B89" w:rsidP="002A6535">
      <w:pPr>
        <w:pStyle w:val="ListParagraph"/>
        <w:numPr>
          <w:ilvl w:val="2"/>
          <w:numId w:val="3"/>
        </w:numPr>
        <w:rPr>
          <w:sz w:val="24"/>
        </w:rPr>
      </w:pPr>
      <w:r w:rsidRPr="002A4B89">
        <w:rPr>
          <w:sz w:val="24"/>
        </w:rPr>
        <w:t xml:space="preserve">If discharged after 1979, at least 24 months of </w:t>
      </w:r>
      <w:r w:rsidR="000B2230">
        <w:rPr>
          <w:sz w:val="24"/>
        </w:rPr>
        <w:t xml:space="preserve">full time </w:t>
      </w:r>
      <w:r w:rsidRPr="002A4B89">
        <w:rPr>
          <w:sz w:val="24"/>
        </w:rPr>
        <w:t>active service.</w:t>
      </w:r>
    </w:p>
    <w:p w:rsidR="00D14BF9" w:rsidRDefault="00D14BF9" w:rsidP="002A6535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If Reserve Component or National Guard, have active</w:t>
      </w:r>
      <w:r w:rsidR="00994E14">
        <w:rPr>
          <w:sz w:val="24"/>
        </w:rPr>
        <w:t xml:space="preserve"> duty</w:t>
      </w:r>
      <w:r>
        <w:rPr>
          <w:sz w:val="24"/>
        </w:rPr>
        <w:t xml:space="preserve"> service under Federal Title 10 and serve the full term of orders.</w:t>
      </w:r>
    </w:p>
    <w:p w:rsidR="00796FD7" w:rsidRDefault="00796FD7" w:rsidP="00796FD7">
      <w:pPr>
        <w:pStyle w:val="ListParagraph"/>
        <w:ind w:left="2160"/>
        <w:rPr>
          <w:sz w:val="24"/>
        </w:rPr>
      </w:pPr>
    </w:p>
    <w:p w:rsidR="002A1E21" w:rsidRDefault="002A1E21" w:rsidP="002A1E2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An exception to 2(d) above for ve</w:t>
      </w:r>
      <w:r w:rsidR="00883E51">
        <w:rPr>
          <w:sz w:val="24"/>
        </w:rPr>
        <w:t xml:space="preserve">terans of the Reserve Component, </w:t>
      </w:r>
      <w:r>
        <w:rPr>
          <w:sz w:val="24"/>
        </w:rPr>
        <w:t>National Guard</w:t>
      </w:r>
      <w:r w:rsidR="00883E51">
        <w:rPr>
          <w:sz w:val="24"/>
        </w:rPr>
        <w:t xml:space="preserve"> and veterans who do not meet the minimum service requirements as in 2(d)ii</w:t>
      </w:r>
      <w:r>
        <w:rPr>
          <w:sz w:val="24"/>
        </w:rPr>
        <w:t xml:space="preserve"> </w:t>
      </w:r>
      <w:r w:rsidRPr="00994E14">
        <w:rPr>
          <w:sz w:val="24"/>
          <w:u w:val="single"/>
        </w:rPr>
        <w:t>may</w:t>
      </w:r>
      <w:r>
        <w:rPr>
          <w:sz w:val="24"/>
        </w:rPr>
        <w:t xml:space="preserve"> be granted if written request is made to and approved by UCVSA.  Upon approval</w:t>
      </w:r>
      <w:r w:rsidR="00796FD7">
        <w:rPr>
          <w:sz w:val="24"/>
        </w:rPr>
        <w:t xml:space="preserve"> of such exception</w:t>
      </w:r>
      <w:r>
        <w:rPr>
          <w:sz w:val="24"/>
        </w:rPr>
        <w:t xml:space="preserve">, the burial informant shall </w:t>
      </w:r>
      <w:r w:rsidRPr="00994E14">
        <w:rPr>
          <w:sz w:val="24"/>
          <w:u w:val="single"/>
        </w:rPr>
        <w:t>pay in advance</w:t>
      </w:r>
      <w:r>
        <w:rPr>
          <w:sz w:val="24"/>
        </w:rPr>
        <w:t xml:space="preserve"> to the Cemetery operator the full cost of such burial, including but not limited to costs for plot, interment and marker base.  Informant shall also pay in advance for</w:t>
      </w:r>
      <w:r w:rsidR="00C152DF">
        <w:rPr>
          <w:sz w:val="24"/>
        </w:rPr>
        <w:t xml:space="preserve"> the prescribed </w:t>
      </w:r>
      <w:r w:rsidR="00300CFB">
        <w:rPr>
          <w:sz w:val="24"/>
        </w:rPr>
        <w:t xml:space="preserve">flat </w:t>
      </w:r>
      <w:r w:rsidR="00C152DF">
        <w:rPr>
          <w:sz w:val="24"/>
        </w:rPr>
        <w:t xml:space="preserve">bronze </w:t>
      </w:r>
      <w:r w:rsidR="00994E14">
        <w:rPr>
          <w:sz w:val="24"/>
        </w:rPr>
        <w:t xml:space="preserve">grave </w:t>
      </w:r>
      <w:r w:rsidR="00C152DF">
        <w:rPr>
          <w:sz w:val="24"/>
        </w:rPr>
        <w:t>marker.</w:t>
      </w:r>
    </w:p>
    <w:p w:rsidR="00994E14" w:rsidRDefault="00994E14" w:rsidP="00994E14">
      <w:pPr>
        <w:pStyle w:val="ListParagraph"/>
        <w:ind w:left="1440"/>
        <w:rPr>
          <w:sz w:val="24"/>
        </w:rPr>
      </w:pPr>
    </w:p>
    <w:p w:rsidR="00994E14" w:rsidRDefault="00994E14" w:rsidP="00994E1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Grave Markers:</w:t>
      </w:r>
    </w:p>
    <w:p w:rsidR="00994E14" w:rsidRDefault="00994E14" w:rsidP="00994E14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24”x12” </w:t>
      </w:r>
      <w:r w:rsidR="00300CFB">
        <w:rPr>
          <w:sz w:val="24"/>
        </w:rPr>
        <w:t xml:space="preserve">flat </w:t>
      </w:r>
      <w:r>
        <w:rPr>
          <w:sz w:val="24"/>
        </w:rPr>
        <w:t xml:space="preserve">bronze grave markers are the only </w:t>
      </w:r>
      <w:r w:rsidR="00796FD7">
        <w:rPr>
          <w:sz w:val="24"/>
        </w:rPr>
        <w:t xml:space="preserve">authorized </w:t>
      </w:r>
      <w:r>
        <w:rPr>
          <w:sz w:val="24"/>
        </w:rPr>
        <w:t>markers in UCVC.</w:t>
      </w:r>
    </w:p>
    <w:p w:rsidR="00994E14" w:rsidRDefault="00994E14" w:rsidP="00994E14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For veterans as in 2(d) above, su</w:t>
      </w:r>
      <w:r w:rsidR="00374179">
        <w:rPr>
          <w:sz w:val="24"/>
        </w:rPr>
        <w:t xml:space="preserve">ch markers are provided by the </w:t>
      </w:r>
      <w:r w:rsidR="007201BD">
        <w:rPr>
          <w:sz w:val="24"/>
        </w:rPr>
        <w:t>U.S.</w:t>
      </w:r>
      <w:r>
        <w:rPr>
          <w:sz w:val="24"/>
        </w:rPr>
        <w:t xml:space="preserve"> Dept. of Veterans Affairs (VA) at no charge, and are typically ordered by the attending funeral service (</w:t>
      </w:r>
      <w:r w:rsidR="00440F06">
        <w:rPr>
          <w:sz w:val="24"/>
        </w:rPr>
        <w:t>VA Form 40-1330).</w:t>
      </w:r>
    </w:p>
    <w:p w:rsidR="007201BD" w:rsidRDefault="00796FD7" w:rsidP="00994E14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If the decedent is not eligible for a VA-</w:t>
      </w:r>
      <w:r w:rsidR="000B2230">
        <w:rPr>
          <w:sz w:val="24"/>
        </w:rPr>
        <w:t>provided Flat Bronze marker, a compliant</w:t>
      </w:r>
      <w:r w:rsidR="007201BD">
        <w:rPr>
          <w:sz w:val="24"/>
        </w:rPr>
        <w:t xml:space="preserve"> flat b</w:t>
      </w:r>
      <w:r>
        <w:rPr>
          <w:sz w:val="24"/>
        </w:rPr>
        <w:t xml:space="preserve">ronze marker must be </w:t>
      </w:r>
      <w:r w:rsidR="00440F06">
        <w:rPr>
          <w:sz w:val="24"/>
        </w:rPr>
        <w:t xml:space="preserve">ordered and paid for in advance </w:t>
      </w:r>
      <w:r w:rsidR="007201BD">
        <w:rPr>
          <w:sz w:val="24"/>
        </w:rPr>
        <w:t>by the informant.</w:t>
      </w:r>
    </w:p>
    <w:p w:rsidR="00440F06" w:rsidRDefault="00440F06" w:rsidP="00994E14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If a spouse pre-deceases the veteran and her cremains are interred in the veteran’s future </w:t>
      </w:r>
      <w:r w:rsidR="007201BD">
        <w:rPr>
          <w:sz w:val="24"/>
        </w:rPr>
        <w:t xml:space="preserve">UCVC </w:t>
      </w:r>
      <w:r>
        <w:rPr>
          <w:sz w:val="24"/>
        </w:rPr>
        <w:t>burial plot, the veteran may choose to</w:t>
      </w:r>
      <w:r w:rsidR="00300CFB">
        <w:rPr>
          <w:sz w:val="24"/>
        </w:rPr>
        <w:t xml:space="preserve"> avoid the expense of a spouse marker and</w:t>
      </w:r>
      <w:r>
        <w:rPr>
          <w:sz w:val="24"/>
        </w:rPr>
        <w:t xml:space="preserve"> include the spouse</w:t>
      </w:r>
      <w:r w:rsidR="00300CFB">
        <w:rPr>
          <w:sz w:val="24"/>
        </w:rPr>
        <w:t>’s name</w:t>
      </w:r>
      <w:r>
        <w:rPr>
          <w:sz w:val="24"/>
        </w:rPr>
        <w:t xml:space="preserve"> on his own </w:t>
      </w:r>
      <w:r w:rsidR="00EE7CAB">
        <w:rPr>
          <w:sz w:val="24"/>
        </w:rPr>
        <w:t xml:space="preserve">VA-provided </w:t>
      </w:r>
      <w:r>
        <w:rPr>
          <w:sz w:val="24"/>
        </w:rPr>
        <w:t>bronze marker</w:t>
      </w:r>
      <w:r w:rsidR="00300CFB">
        <w:rPr>
          <w:sz w:val="24"/>
        </w:rPr>
        <w:t>,</w:t>
      </w:r>
      <w:r>
        <w:rPr>
          <w:sz w:val="24"/>
        </w:rPr>
        <w:t xml:space="preserve"> when he is interred</w:t>
      </w:r>
      <w:r w:rsidR="00EE7CAB">
        <w:rPr>
          <w:sz w:val="24"/>
        </w:rPr>
        <w:t xml:space="preserve"> himself</w:t>
      </w:r>
      <w:r>
        <w:rPr>
          <w:sz w:val="24"/>
        </w:rPr>
        <w:t xml:space="preserve">.  Otherwise, a bronze marker must be purchased </w:t>
      </w:r>
      <w:r w:rsidR="00EE7CAB">
        <w:rPr>
          <w:sz w:val="24"/>
        </w:rPr>
        <w:t xml:space="preserve">by the informant </w:t>
      </w:r>
      <w:r>
        <w:rPr>
          <w:sz w:val="24"/>
        </w:rPr>
        <w:t xml:space="preserve">for the spouse’s </w:t>
      </w:r>
      <w:r w:rsidR="00EE7CAB">
        <w:rPr>
          <w:sz w:val="24"/>
        </w:rPr>
        <w:t>plot</w:t>
      </w:r>
      <w:r>
        <w:rPr>
          <w:sz w:val="24"/>
        </w:rPr>
        <w:t>.</w:t>
      </w:r>
    </w:p>
    <w:p w:rsidR="00440F06" w:rsidRDefault="00440F06" w:rsidP="00440F06">
      <w:pPr>
        <w:pStyle w:val="ListParagraph"/>
        <w:ind w:left="1440"/>
        <w:rPr>
          <w:sz w:val="24"/>
        </w:rPr>
      </w:pPr>
    </w:p>
    <w:p w:rsidR="00440F06" w:rsidRDefault="00374179" w:rsidP="00440F0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Costs (</w:t>
      </w:r>
      <w:r w:rsidR="000D6D9D">
        <w:rPr>
          <w:sz w:val="24"/>
        </w:rPr>
        <w:t xml:space="preserve">The following general </w:t>
      </w:r>
      <w:r w:rsidR="00300CFB">
        <w:rPr>
          <w:sz w:val="24"/>
        </w:rPr>
        <w:t xml:space="preserve">burial cost information </w:t>
      </w:r>
      <w:r w:rsidR="000D6D9D">
        <w:rPr>
          <w:sz w:val="24"/>
        </w:rPr>
        <w:t>is provided for convenience.  Actual costs</w:t>
      </w:r>
      <w:r w:rsidR="00A21328">
        <w:rPr>
          <w:sz w:val="24"/>
        </w:rPr>
        <w:t xml:space="preserve"> may vary due to</w:t>
      </w:r>
      <w:r>
        <w:rPr>
          <w:sz w:val="24"/>
        </w:rPr>
        <w:t xml:space="preserve"> individual circumstances</w:t>
      </w:r>
      <w:r w:rsidR="007100D0">
        <w:rPr>
          <w:sz w:val="24"/>
        </w:rPr>
        <w:t xml:space="preserve"> or price changes</w:t>
      </w:r>
      <w:r>
        <w:rPr>
          <w:sz w:val="24"/>
        </w:rPr>
        <w:t>):</w:t>
      </w:r>
      <w:bookmarkStart w:id="0" w:name="_GoBack"/>
      <w:bookmarkEnd w:id="0"/>
    </w:p>
    <w:p w:rsidR="00440F06" w:rsidRDefault="000D6D9D" w:rsidP="00440F0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Cemetery:</w:t>
      </w:r>
    </w:p>
    <w:p w:rsid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Plot:  </w:t>
      </w:r>
      <w:r>
        <w:rPr>
          <w:sz w:val="24"/>
        </w:rPr>
        <w:tab/>
      </w:r>
      <w:r>
        <w:rPr>
          <w:sz w:val="24"/>
        </w:rPr>
        <w:tab/>
        <w:t>$</w:t>
      </w:r>
      <w:r w:rsidR="00374179">
        <w:rPr>
          <w:sz w:val="24"/>
        </w:rPr>
        <w:t>800</w:t>
      </w:r>
    </w:p>
    <w:p w:rsid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Interment:  </w:t>
      </w:r>
      <w:r>
        <w:rPr>
          <w:sz w:val="24"/>
        </w:rPr>
        <w:tab/>
        <w:t>$</w:t>
      </w:r>
      <w:r w:rsidR="00374179">
        <w:rPr>
          <w:sz w:val="24"/>
        </w:rPr>
        <w:t>850</w:t>
      </w:r>
      <w:r>
        <w:rPr>
          <w:sz w:val="24"/>
        </w:rPr>
        <w:t xml:space="preserve"> (full body); $</w:t>
      </w:r>
      <w:r w:rsidR="00374179">
        <w:rPr>
          <w:sz w:val="24"/>
        </w:rPr>
        <w:t>450</w:t>
      </w:r>
      <w:r>
        <w:rPr>
          <w:sz w:val="24"/>
        </w:rPr>
        <w:t xml:space="preserve"> (cremains)</w:t>
      </w:r>
    </w:p>
    <w:p w:rsid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Marker base:</w:t>
      </w:r>
      <w:r>
        <w:rPr>
          <w:sz w:val="24"/>
        </w:rPr>
        <w:tab/>
        <w:t>$175</w:t>
      </w:r>
    </w:p>
    <w:p w:rsidR="000D6D9D" w:rsidRDefault="000D6D9D" w:rsidP="000D6D9D">
      <w:pPr>
        <w:pStyle w:val="ListParagraph"/>
        <w:ind w:left="2160"/>
        <w:rPr>
          <w:sz w:val="24"/>
        </w:rPr>
      </w:pPr>
    </w:p>
    <w:p w:rsidR="000D6D9D" w:rsidRDefault="000D6D9D" w:rsidP="000D6D9D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Bronze grave marker:</w:t>
      </w:r>
    </w:p>
    <w:p w:rsid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24”x12” Flat Bronze, identical to VA-provided veteran </w:t>
      </w:r>
      <w:r w:rsidR="00374179">
        <w:rPr>
          <w:sz w:val="24"/>
        </w:rPr>
        <w:t xml:space="preserve">Flat Bronze </w:t>
      </w:r>
      <w:r>
        <w:rPr>
          <w:sz w:val="24"/>
        </w:rPr>
        <w:t>markers.</w:t>
      </w:r>
    </w:p>
    <w:p w:rsid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Available through monument merchants.</w:t>
      </w:r>
    </w:p>
    <w:p w:rsidR="000D6D9D" w:rsidRPr="000D6D9D" w:rsidRDefault="000D6D9D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A local source:  K.L. Keyser Memorials; </w:t>
      </w:r>
      <w:r>
        <w:rPr>
          <w:rFonts w:ascii="Arial" w:hAnsi="Arial" w:cs="Arial"/>
          <w:color w:val="222222"/>
          <w:shd w:val="clear" w:color="auto" w:fill="FFFFFF"/>
        </w:rPr>
        <w:t xml:space="preserve">336 Albany Ave, Kingston, NY 12401; </w:t>
      </w:r>
      <w:r w:rsidRPr="000D6D9D">
        <w:rPr>
          <w:rFonts w:ascii="Arial" w:hAnsi="Arial" w:cs="Arial"/>
          <w:color w:val="222222"/>
          <w:shd w:val="clear" w:color="auto" w:fill="FFFFFF"/>
        </w:rPr>
        <w:t>(845) 331-4800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D6D9D" w:rsidRPr="002A4B89" w:rsidRDefault="00374179" w:rsidP="000D6D9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Approximate cost:  $995</w:t>
      </w:r>
    </w:p>
    <w:sectPr w:rsidR="000D6D9D" w:rsidRPr="002A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49BB"/>
    <w:multiLevelType w:val="hybridMultilevel"/>
    <w:tmpl w:val="8926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D7757"/>
    <w:multiLevelType w:val="hybridMultilevel"/>
    <w:tmpl w:val="BC14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4D3A"/>
    <w:multiLevelType w:val="hybridMultilevel"/>
    <w:tmpl w:val="BECC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A"/>
    <w:rsid w:val="00046A51"/>
    <w:rsid w:val="000B2230"/>
    <w:rsid w:val="000B28DA"/>
    <w:rsid w:val="000D6D9D"/>
    <w:rsid w:val="001F15F9"/>
    <w:rsid w:val="002A1E21"/>
    <w:rsid w:val="002A4ABA"/>
    <w:rsid w:val="002A4B89"/>
    <w:rsid w:val="002A6535"/>
    <w:rsid w:val="00300CFB"/>
    <w:rsid w:val="00374179"/>
    <w:rsid w:val="00440F06"/>
    <w:rsid w:val="005C2F46"/>
    <w:rsid w:val="007100D0"/>
    <w:rsid w:val="007201BD"/>
    <w:rsid w:val="00796FD7"/>
    <w:rsid w:val="00883E51"/>
    <w:rsid w:val="00890EDC"/>
    <w:rsid w:val="00994E14"/>
    <w:rsid w:val="00A21328"/>
    <w:rsid w:val="00C152DF"/>
    <w:rsid w:val="00CA53D0"/>
    <w:rsid w:val="00D14BF9"/>
    <w:rsid w:val="00D47A29"/>
    <w:rsid w:val="00D775E5"/>
    <w:rsid w:val="00EE7CAB"/>
    <w:rsid w:val="00FB72A6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2CF5"/>
  <w15:chartTrackingRefBased/>
  <w15:docId w15:val="{F2FF2BCB-54E9-40C3-BC77-867754D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Massee</dc:creator>
  <cp:keywords/>
  <dc:description/>
  <cp:lastModifiedBy>Steven Massee</cp:lastModifiedBy>
  <cp:revision>3</cp:revision>
  <dcterms:created xsi:type="dcterms:W3CDTF">2018-09-12T15:09:00Z</dcterms:created>
  <dcterms:modified xsi:type="dcterms:W3CDTF">2018-10-12T14:54:00Z</dcterms:modified>
</cp:coreProperties>
</file>